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ind w:left="0" w:leftChars="0" w:firstLine="0" w:firstLineChars="0"/>
        <w:rPr>
          <w:rFonts w:hint="eastAsia" w:ascii="黑体" w:hAnsi="黑体" w:eastAsia="黑体" w:cs="黑体"/>
          <w:b w:val="0"/>
          <w:bCs w:val="0"/>
          <w:sz w:val="32"/>
          <w:szCs w:val="32"/>
          <w:lang w:val="en-US" w:eastAsia="zh-CN"/>
        </w:rPr>
      </w:pPr>
    </w:p>
    <w:p>
      <w:pPr>
        <w:jc w:val="center"/>
        <w:rPr>
          <w:rFonts w:hint="eastAsia"/>
          <w:b/>
          <w:bCs/>
          <w:sz w:val="44"/>
          <w:szCs w:val="44"/>
        </w:rPr>
      </w:pPr>
      <w:r>
        <w:rPr>
          <w:rFonts w:hint="eastAsia"/>
          <w:b/>
          <w:bCs/>
          <w:sz w:val="44"/>
          <w:szCs w:val="44"/>
        </w:rPr>
        <w:t>江西省保险业</w:t>
      </w:r>
      <w:r>
        <w:rPr>
          <w:rFonts w:hint="eastAsia"/>
          <w:b/>
          <w:bCs/>
          <w:sz w:val="44"/>
          <w:szCs w:val="44"/>
          <w:lang w:val="en-US" w:eastAsia="zh-CN"/>
        </w:rPr>
        <w:t>202</w:t>
      </w:r>
      <w:r>
        <w:rPr>
          <w:rFonts w:hint="default"/>
          <w:b/>
          <w:bCs/>
          <w:sz w:val="44"/>
          <w:szCs w:val="44"/>
          <w:lang w:val="en-US" w:eastAsia="zh-CN"/>
        </w:rPr>
        <w:t>3</w:t>
      </w:r>
      <w:r>
        <w:rPr>
          <w:rFonts w:hint="eastAsia"/>
          <w:b/>
          <w:bCs/>
          <w:sz w:val="44"/>
          <w:szCs w:val="44"/>
          <w:lang w:val="en-US" w:eastAsia="zh-CN"/>
        </w:rPr>
        <w:t>年上半年</w:t>
      </w:r>
      <w:r>
        <w:rPr>
          <w:rFonts w:hint="eastAsia"/>
          <w:b/>
          <w:bCs/>
          <w:sz w:val="44"/>
          <w:szCs w:val="44"/>
        </w:rPr>
        <w:t>消费投诉</w:t>
      </w:r>
    </w:p>
    <w:p>
      <w:pPr>
        <w:jc w:val="center"/>
        <w:rPr>
          <w:rFonts w:hint="eastAsia"/>
          <w:b/>
          <w:bCs/>
          <w:sz w:val="44"/>
          <w:szCs w:val="44"/>
          <w:lang w:eastAsia="zh-CN"/>
        </w:rPr>
      </w:pPr>
      <w:r>
        <w:rPr>
          <w:rFonts w:hint="eastAsia"/>
          <w:b/>
          <w:bCs/>
          <w:sz w:val="44"/>
          <w:szCs w:val="44"/>
        </w:rPr>
        <w:t>维权电话</w:t>
      </w:r>
      <w:r>
        <w:rPr>
          <w:rFonts w:hint="eastAsia"/>
          <w:b/>
          <w:bCs/>
          <w:sz w:val="44"/>
          <w:szCs w:val="44"/>
          <w:lang w:eastAsia="zh-CN"/>
        </w:rPr>
        <w:t>相关情况的报告</w:t>
      </w:r>
      <w:bookmarkStart w:id="0" w:name="_GoBack"/>
      <w:bookmarkEnd w:id="0"/>
    </w:p>
    <w:p>
      <w:pPr>
        <w:jc w:val="center"/>
        <w:rPr>
          <w:rFonts w:hint="eastAsia"/>
          <w:b/>
          <w:bCs/>
          <w:sz w:val="44"/>
          <w:szCs w:val="44"/>
          <w:lang w:eastAsia="zh-CN"/>
        </w:rPr>
      </w:pPr>
    </w:p>
    <w:p>
      <w:pPr>
        <w:numPr>
          <w:ilvl w:val="0"/>
          <w:numId w:val="0"/>
        </w:numPr>
        <w:ind w:firstLine="643" w:firstLineChars="200"/>
        <w:jc w:val="both"/>
        <w:rPr>
          <w:rFonts w:hint="eastAsia"/>
          <w:b/>
          <w:bCs/>
          <w:sz w:val="32"/>
          <w:szCs w:val="32"/>
          <w:lang w:eastAsia="zh-CN"/>
        </w:rPr>
      </w:pPr>
      <w:r>
        <w:rPr>
          <w:rFonts w:hint="eastAsia"/>
          <w:b/>
          <w:bCs/>
          <w:sz w:val="32"/>
          <w:szCs w:val="32"/>
          <w:lang w:eastAsia="zh-CN"/>
        </w:rPr>
        <w:t>一、电话整体情况</w:t>
      </w:r>
    </w:p>
    <w:p>
      <w:pPr>
        <w:ind w:firstLine="560" w:firstLineChars="200"/>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2023年1月至6月共计接听有效电话493通，其中一季度接听电话264通，二季度接听电话229通，二季度环比一季度增长-13.3%。具体分布情况详见下图：</w:t>
      </w:r>
    </w:p>
    <w:p>
      <w:pPr>
        <w:ind w:firstLine="420" w:firstLineChars="200"/>
        <w:rPr>
          <w:rFonts w:hint="eastAsia"/>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3213735</wp:posOffset>
                </wp:positionH>
                <wp:positionV relativeFrom="paragraph">
                  <wp:posOffset>641350</wp:posOffset>
                </wp:positionV>
                <wp:extent cx="1409700" cy="456565"/>
                <wp:effectExtent l="0" t="0" r="0" b="635"/>
                <wp:wrapNone/>
                <wp:docPr id="4" name="文本框 4"/>
                <wp:cNvGraphicFramePr/>
                <a:graphic xmlns:a="http://schemas.openxmlformats.org/drawingml/2006/main">
                  <a:graphicData uri="http://schemas.microsoft.com/office/word/2010/wordprocessingShape">
                    <wps:wsp>
                      <wps:cNvSpPr txBox="1"/>
                      <wps:spPr>
                        <a:xfrm>
                          <a:off x="3680460" y="4605655"/>
                          <a:ext cx="1409700" cy="4565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21"/>
                                <w:szCs w:val="24"/>
                                <w:lang w:val="en-US" w:eastAsia="zh-CN"/>
                              </w:rPr>
                            </w:pPr>
                            <w:r>
                              <w:rPr>
                                <w:rFonts w:hint="eastAsia" w:ascii="微软雅黑" w:hAnsi="微软雅黑" w:eastAsia="微软雅黑" w:cs="微软雅黑"/>
                                <w:b/>
                                <w:bCs/>
                                <w:sz w:val="21"/>
                                <w:szCs w:val="24"/>
                                <w:lang w:eastAsia="zh-CN"/>
                              </w:rPr>
                              <w:t>增长</w:t>
                            </w:r>
                            <w:r>
                              <w:rPr>
                                <w:rFonts w:hint="eastAsia" w:ascii="微软雅黑" w:hAnsi="微软雅黑" w:eastAsia="微软雅黑" w:cs="微软雅黑"/>
                                <w:b/>
                                <w:bCs/>
                                <w:sz w:val="21"/>
                                <w:szCs w:val="24"/>
                                <w:lang w:val="en-US" w:eastAsia="zh-CN"/>
                              </w:rPr>
                              <w:t>-13.3%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3.05pt;margin-top:50.5pt;height:35.95pt;width:111pt;z-index:251659264;mso-width-relative:page;mso-height-relative:page;" fillcolor="#FFFFFF [3201]" filled="t" stroked="f" coordsize="21600,21600" o:gfxdata="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crELF1QAA&#10;AAsBAAAPAAAAAAAAAAEAIAAAACIAAABkcnMvZG93bnJldi54bWxQSwECFAAUAAAACACHTuJAUoqV&#10;51oCAACbBAAADgAAAAAAAAABACAAAAAkAQAAZHJzL2Uyb0RvYy54bWxQSwUGAAAAAAYABgBZAQAA&#10;8AUAAAAA&#10;">
                <v:fill on="t" focussize="0,0"/>
                <v:stroke on="f" weight="0.5pt"/>
                <v:imagedata o:title=""/>
                <o:lock v:ext="edit" aspectratio="f"/>
                <v:textbox>
                  <w:txbxContent>
                    <w:p>
                      <w:pPr>
                        <w:rPr>
                          <w:rFonts w:hint="eastAsia" w:ascii="微软雅黑" w:hAnsi="微软雅黑" w:eastAsia="微软雅黑" w:cs="微软雅黑"/>
                          <w:b/>
                          <w:bCs/>
                          <w:sz w:val="21"/>
                          <w:szCs w:val="24"/>
                          <w:lang w:val="en-US" w:eastAsia="zh-CN"/>
                        </w:rPr>
                      </w:pPr>
                      <w:r>
                        <w:rPr>
                          <w:rFonts w:hint="eastAsia" w:ascii="微软雅黑" w:hAnsi="微软雅黑" w:eastAsia="微软雅黑" w:cs="微软雅黑"/>
                          <w:b/>
                          <w:bCs/>
                          <w:sz w:val="21"/>
                          <w:szCs w:val="24"/>
                          <w:lang w:eastAsia="zh-CN"/>
                        </w:rPr>
                        <w:t>增长</w:t>
                      </w:r>
                      <w:r>
                        <w:rPr>
                          <w:rFonts w:hint="eastAsia" w:ascii="微软雅黑" w:hAnsi="微软雅黑" w:eastAsia="微软雅黑" w:cs="微软雅黑"/>
                          <w:b/>
                          <w:bCs/>
                          <w:sz w:val="21"/>
                          <w:szCs w:val="24"/>
                          <w:lang w:val="en-US" w:eastAsia="zh-CN"/>
                        </w:rPr>
                        <w:t>-13.3%</w:t>
                      </w:r>
                    </w:p>
                  </w:txbxContent>
                </v:textbox>
              </v:shape>
            </w:pict>
          </mc:Fallback>
        </mc:AlternateContent>
      </w:r>
      <w:r>
        <w:drawing>
          <wp:inline distT="0" distB="0" distL="114300" distR="114300">
            <wp:extent cx="4391660" cy="2096135"/>
            <wp:effectExtent l="4445" t="5080" r="23495" b="13335"/>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ind w:firstLine="420" w:firstLineChars="200"/>
        <w:rPr>
          <w:rFonts w:hint="eastAsia" w:asciiTheme="minorEastAsia" w:hAnsiTheme="minorEastAsia" w:cstheme="minorEastAsia"/>
          <w:b w:val="0"/>
          <w:bCs w:val="0"/>
          <w:sz w:val="28"/>
          <w:szCs w:val="28"/>
          <w:lang w:val="en-US" w:eastAsia="zh-CN"/>
        </w:rPr>
      </w:pPr>
      <w:r>
        <w:drawing>
          <wp:inline distT="0" distB="0" distL="114300" distR="114300">
            <wp:extent cx="4352925" cy="2614930"/>
            <wp:effectExtent l="0" t="0" r="9525" b="1397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5"/>
                    <a:stretch>
                      <a:fillRect/>
                    </a:stretch>
                  </pic:blipFill>
                  <pic:spPr>
                    <a:xfrm>
                      <a:off x="0" y="0"/>
                      <a:ext cx="4352925" cy="2614930"/>
                    </a:xfrm>
                    <a:prstGeom prst="rect">
                      <a:avLst/>
                    </a:prstGeom>
                    <a:noFill/>
                    <a:ln>
                      <a:noFill/>
                    </a:ln>
                  </pic:spPr>
                </pic:pic>
              </a:graphicData>
            </a:graphic>
          </wp:inline>
        </w:drawing>
      </w:r>
    </w:p>
    <w:p>
      <w:pPr>
        <w:ind w:firstLine="560" w:firstLineChars="200"/>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根据上图数据呈现，上半年受理投诉件共计52件，占总接听量的10.5%；引导件441件，占总接听量的89.5%。从受理机构类型来看，寿险共计264件，财险共计228件，寿险来电客户相对较多，电话具体分布情况如下：</w:t>
      </w:r>
    </w:p>
    <w:tbl>
      <w:tblPr>
        <w:tblStyle w:val="2"/>
        <w:tblpPr w:leftFromText="180" w:rightFromText="180" w:vertAnchor="text" w:horzAnchor="page" w:tblpX="5935" w:tblpY="105"/>
        <w:tblOverlap w:val="never"/>
        <w:tblW w:w="40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33"/>
        <w:gridCol w:w="982"/>
        <w:gridCol w:w="982"/>
        <w:gridCol w:w="9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1133" w:type="dxa"/>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机构类型</w:t>
            </w:r>
          </w:p>
        </w:tc>
        <w:tc>
          <w:tcPr>
            <w:tcW w:w="982" w:type="dxa"/>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投诉件</w:t>
            </w:r>
          </w:p>
        </w:tc>
        <w:tc>
          <w:tcPr>
            <w:tcW w:w="982" w:type="dxa"/>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引导件</w:t>
            </w:r>
          </w:p>
        </w:tc>
        <w:tc>
          <w:tcPr>
            <w:tcW w:w="982" w:type="dxa"/>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总量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1133"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寿险</w:t>
            </w:r>
          </w:p>
        </w:tc>
        <w:tc>
          <w:tcPr>
            <w:tcW w:w="982"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35</w:t>
            </w:r>
          </w:p>
        </w:tc>
        <w:tc>
          <w:tcPr>
            <w:tcW w:w="982"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229</w:t>
            </w:r>
          </w:p>
        </w:tc>
        <w:tc>
          <w:tcPr>
            <w:tcW w:w="982"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1133"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财险</w:t>
            </w:r>
          </w:p>
        </w:tc>
        <w:tc>
          <w:tcPr>
            <w:tcW w:w="982"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17</w:t>
            </w:r>
          </w:p>
        </w:tc>
        <w:tc>
          <w:tcPr>
            <w:tcW w:w="982"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211</w:t>
            </w:r>
          </w:p>
        </w:tc>
        <w:tc>
          <w:tcPr>
            <w:tcW w:w="982"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1133"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其他</w:t>
            </w:r>
          </w:p>
        </w:tc>
        <w:tc>
          <w:tcPr>
            <w:tcW w:w="982"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c>
          <w:tcPr>
            <w:tcW w:w="982"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982"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1133"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合计</w:t>
            </w:r>
          </w:p>
        </w:tc>
        <w:tc>
          <w:tcPr>
            <w:tcW w:w="982"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52</w:t>
            </w:r>
          </w:p>
        </w:tc>
        <w:tc>
          <w:tcPr>
            <w:tcW w:w="982"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441</w:t>
            </w:r>
          </w:p>
        </w:tc>
        <w:tc>
          <w:tcPr>
            <w:tcW w:w="982"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493</w:t>
            </w:r>
          </w:p>
        </w:tc>
      </w:tr>
    </w:tbl>
    <w:p>
      <w:pPr>
        <w:rPr>
          <w:rFonts w:hint="eastAsia" w:asciiTheme="minorEastAsia" w:hAnsiTheme="minorEastAsia" w:cstheme="minorEastAsia"/>
          <w:b/>
          <w:bCs/>
          <w:sz w:val="32"/>
          <w:szCs w:val="32"/>
          <w:lang w:val="en-US" w:eastAsia="zh-CN"/>
        </w:rPr>
      </w:pPr>
      <w:r>
        <w:drawing>
          <wp:inline distT="0" distB="0" distL="114300" distR="114300">
            <wp:extent cx="2409825" cy="2136775"/>
            <wp:effectExtent l="4445" t="4445" r="5080" b="1143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numPr>
          <w:ilvl w:val="0"/>
          <w:numId w:val="0"/>
        </w:numPr>
        <w:ind w:leftChars="0" w:firstLine="643" w:firstLineChars="200"/>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二、投诉案件处理情况</w:t>
      </w:r>
    </w:p>
    <w:p>
      <w:pPr>
        <w:numPr>
          <w:ilvl w:val="0"/>
          <w:numId w:val="0"/>
        </w:numPr>
        <w:ind w:firstLine="560" w:firstLineChars="200"/>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（一）财寿公司分布情况</w:t>
      </w:r>
    </w:p>
    <w:p>
      <w:pPr>
        <w:numPr>
          <w:ilvl w:val="0"/>
          <w:numId w:val="0"/>
        </w:numPr>
        <w:ind w:firstLine="560" w:firstLineChars="200"/>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上半年受理投诉件共计52件，其中寿险公司34件，财险公司18件。寿险公司共涉及6家，分别为：平安人寿、太平人寿、中国人寿、太平洋寿险、新华人寿、泰康人寿，其中平安人寿来电客户较多。财险公司共涉及6家，分布为：人保财险、太平洋财险、平安财险、国寿财险、永安财险、鼎和财险，其中人保财险来电客户较多。具体分布情况如下：</w:t>
      </w:r>
    </w:p>
    <w:tbl>
      <w:tblPr>
        <w:tblStyle w:val="2"/>
        <w:tblW w:w="76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40"/>
        <w:gridCol w:w="1336"/>
        <w:gridCol w:w="636"/>
        <w:gridCol w:w="1781"/>
        <w:gridCol w:w="19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940" w:type="dxa"/>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被诉机构</w:t>
            </w:r>
          </w:p>
        </w:tc>
        <w:tc>
          <w:tcPr>
            <w:tcW w:w="1336" w:type="dxa"/>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数量</w:t>
            </w:r>
          </w:p>
        </w:tc>
        <w:tc>
          <w:tcPr>
            <w:tcW w:w="636" w:type="dxa"/>
            <w:vMerge w:val="restar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1" w:type="dxa"/>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被诉机构</w:t>
            </w:r>
          </w:p>
        </w:tc>
        <w:tc>
          <w:tcPr>
            <w:tcW w:w="1924" w:type="dxa"/>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平安人寿</w:t>
            </w:r>
          </w:p>
        </w:tc>
        <w:tc>
          <w:tcPr>
            <w:tcW w:w="0" w:type="auto"/>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16</w:t>
            </w:r>
          </w:p>
        </w:tc>
        <w:tc>
          <w:tcPr>
            <w:tcW w:w="636" w:type="dxa"/>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1"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人保财险</w:t>
            </w:r>
          </w:p>
        </w:tc>
        <w:tc>
          <w:tcPr>
            <w:tcW w:w="1924"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太平人寿</w:t>
            </w:r>
          </w:p>
        </w:tc>
        <w:tc>
          <w:tcPr>
            <w:tcW w:w="0" w:type="auto"/>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7</w:t>
            </w:r>
          </w:p>
        </w:tc>
        <w:tc>
          <w:tcPr>
            <w:tcW w:w="636" w:type="dxa"/>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1"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太平洋财险</w:t>
            </w:r>
          </w:p>
        </w:tc>
        <w:tc>
          <w:tcPr>
            <w:tcW w:w="1924"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中国人寿</w:t>
            </w:r>
          </w:p>
        </w:tc>
        <w:tc>
          <w:tcPr>
            <w:tcW w:w="0" w:type="auto"/>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7</w:t>
            </w:r>
          </w:p>
        </w:tc>
        <w:tc>
          <w:tcPr>
            <w:tcW w:w="636" w:type="dxa"/>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1"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平安财险</w:t>
            </w:r>
          </w:p>
        </w:tc>
        <w:tc>
          <w:tcPr>
            <w:tcW w:w="1924"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太平洋寿险</w:t>
            </w:r>
          </w:p>
        </w:tc>
        <w:tc>
          <w:tcPr>
            <w:tcW w:w="0" w:type="auto"/>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w:t>
            </w:r>
          </w:p>
        </w:tc>
        <w:tc>
          <w:tcPr>
            <w:tcW w:w="636" w:type="dxa"/>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1"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国寿财险</w:t>
            </w:r>
          </w:p>
        </w:tc>
        <w:tc>
          <w:tcPr>
            <w:tcW w:w="1924"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新华人寿</w:t>
            </w:r>
          </w:p>
        </w:tc>
        <w:tc>
          <w:tcPr>
            <w:tcW w:w="0" w:type="auto"/>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w:t>
            </w:r>
          </w:p>
        </w:tc>
        <w:tc>
          <w:tcPr>
            <w:tcW w:w="636" w:type="dxa"/>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1"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永安财险</w:t>
            </w:r>
          </w:p>
        </w:tc>
        <w:tc>
          <w:tcPr>
            <w:tcW w:w="1924"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泰康人寿</w:t>
            </w:r>
          </w:p>
        </w:tc>
        <w:tc>
          <w:tcPr>
            <w:tcW w:w="0" w:type="auto"/>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636" w:type="dxa"/>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1"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鼎和财险</w:t>
            </w:r>
          </w:p>
        </w:tc>
        <w:tc>
          <w:tcPr>
            <w:tcW w:w="1924"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合计</w:t>
            </w:r>
          </w:p>
        </w:tc>
        <w:tc>
          <w:tcPr>
            <w:tcW w:w="0" w:type="auto"/>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35</w:t>
            </w:r>
          </w:p>
        </w:tc>
        <w:tc>
          <w:tcPr>
            <w:tcW w:w="636" w:type="dxa"/>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1"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合计</w:t>
            </w:r>
          </w:p>
        </w:tc>
        <w:tc>
          <w:tcPr>
            <w:tcW w:w="1924"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17</w:t>
            </w:r>
          </w:p>
        </w:tc>
      </w:tr>
    </w:tbl>
    <w:p>
      <w:pPr>
        <w:numPr>
          <w:ilvl w:val="0"/>
          <w:numId w:val="0"/>
        </w:numPr>
        <w:ind w:firstLine="560" w:firstLineChars="200"/>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（二）投诉问题性质归类</w:t>
      </w:r>
    </w:p>
    <w:p>
      <w:pPr>
        <w:numPr>
          <w:ilvl w:val="0"/>
          <w:numId w:val="0"/>
        </w:numPr>
        <w:ind w:leftChars="0" w:firstLine="560" w:firstLineChars="2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从来电人反映的情况看，投诉性质大部分为承保问题、理赔问题、退保问题、其他问题四大类。其中寿险公司，退保问题类型案件最多，占比寿险投诉件总量74.3%。财险公司，理赔问题类型案件最多，占财险投诉件总量70.6%。具体案件分布情况如下：</w:t>
      </w:r>
    </w:p>
    <w:p>
      <w:pPr>
        <w:numPr>
          <w:ilvl w:val="0"/>
          <w:numId w:val="0"/>
        </w:numPr>
        <w:ind w:leftChars="0" w:firstLine="420" w:firstLineChars="200"/>
        <w:rPr>
          <w:rFonts w:hint="default" w:asciiTheme="minorEastAsia" w:hAnsiTheme="minorEastAsia" w:cstheme="minorEastAsia"/>
          <w:sz w:val="28"/>
          <w:szCs w:val="28"/>
          <w:lang w:val="en-US" w:eastAsia="zh-CN"/>
        </w:rPr>
      </w:pPr>
      <w:r>
        <w:drawing>
          <wp:inline distT="0" distB="0" distL="114300" distR="114300">
            <wp:extent cx="4943475" cy="3742690"/>
            <wp:effectExtent l="0" t="0" r="9525" b="1016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7"/>
                    <a:stretch>
                      <a:fillRect/>
                    </a:stretch>
                  </pic:blipFill>
                  <pic:spPr>
                    <a:xfrm>
                      <a:off x="0" y="0"/>
                      <a:ext cx="4943475" cy="3742690"/>
                    </a:xfrm>
                    <a:prstGeom prst="rect">
                      <a:avLst/>
                    </a:prstGeom>
                    <a:noFill/>
                    <a:ln>
                      <a:noFill/>
                    </a:ln>
                  </pic:spPr>
                </pic:pic>
              </a:graphicData>
            </a:graphic>
          </wp:inline>
        </w:drawing>
      </w:r>
    </w:p>
    <w:p>
      <w:pPr>
        <w:numPr>
          <w:ilvl w:val="0"/>
          <w:numId w:val="0"/>
        </w:numPr>
        <w:ind w:leftChars="0" w:firstLine="560" w:firstLineChars="200"/>
        <w:jc w:val="both"/>
        <w:rPr>
          <w:rFonts w:hint="eastAsia"/>
          <w:b w:val="0"/>
          <w:bCs w:val="0"/>
          <w:sz w:val="28"/>
          <w:szCs w:val="28"/>
          <w:lang w:val="en-US" w:eastAsia="zh-CN"/>
        </w:rPr>
      </w:pPr>
      <w:r>
        <w:rPr>
          <w:rFonts w:hint="eastAsia"/>
          <w:b w:val="0"/>
          <w:bCs w:val="0"/>
          <w:sz w:val="28"/>
          <w:szCs w:val="28"/>
          <w:lang w:val="en-US" w:eastAsia="zh-CN"/>
        </w:rPr>
        <w:t>（三）投诉案件处理结果</w:t>
      </w:r>
    </w:p>
    <w:p>
      <w:pPr>
        <w:numPr>
          <w:ilvl w:val="0"/>
          <w:numId w:val="0"/>
        </w:numPr>
        <w:ind w:firstLine="560" w:firstLineChars="200"/>
        <w:jc w:val="both"/>
        <w:rPr>
          <w:rFonts w:hint="eastAsia" w:asciiTheme="minorEastAsia" w:hAnsiTheme="minorEastAsia" w:cstheme="minorEastAsia"/>
          <w:color w:val="000000" w:themeColor="text1"/>
          <w:sz w:val="28"/>
          <w:szCs w:val="28"/>
          <w:lang w:val="en-US" w:eastAsia="zh-CN"/>
          <w14:textFill>
            <w14:solidFill>
              <w14:schemeClr w14:val="tx1"/>
            </w14:solidFill>
          </w14:textFill>
        </w:rPr>
      </w:pPr>
      <w:r>
        <w:rPr>
          <w:rFonts w:hint="eastAsia"/>
          <w:b w:val="0"/>
          <w:bCs w:val="0"/>
          <w:sz w:val="28"/>
          <w:szCs w:val="28"/>
          <w:lang w:val="en-US" w:eastAsia="zh-CN"/>
        </w:rPr>
        <w:t>寿险公司</w:t>
      </w:r>
      <w:r>
        <w:rPr>
          <w:rFonts w:hint="eastAsia" w:asciiTheme="minorEastAsia" w:hAnsiTheme="minorEastAsia" w:cstheme="minorEastAsia"/>
          <w:color w:val="000000" w:themeColor="text1"/>
          <w:sz w:val="28"/>
          <w:szCs w:val="28"/>
          <w:lang w:val="en-US" w:eastAsia="zh-CN"/>
          <w14:textFill>
            <w14:solidFill>
              <w14:schemeClr w14:val="tx1"/>
            </w14:solidFill>
          </w14:textFill>
        </w:rPr>
        <w:t>投诉件共计35件，已反馈投诉案件处理报告的有34件，未到结案时间仍在处理中1件。从已反馈的处理结果来看，无法满足客户要求的案件量为29件排名第一，其次协商达成一致的案件量为5件排名第二，未到结案时间仍在处理中的案件量为1件排名第三。处理结果详见下表：</w:t>
      </w:r>
    </w:p>
    <w:tbl>
      <w:tblPr>
        <w:tblStyle w:val="2"/>
        <w:tblW w:w="82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70"/>
        <w:gridCol w:w="1941"/>
        <w:gridCol w:w="1695"/>
        <w:gridCol w:w="28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770" w:type="dxa"/>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寿险</w:t>
            </w:r>
          </w:p>
        </w:tc>
        <w:tc>
          <w:tcPr>
            <w:tcW w:w="1941" w:type="dxa"/>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协商达成一致</w:t>
            </w:r>
          </w:p>
        </w:tc>
        <w:tc>
          <w:tcPr>
            <w:tcW w:w="1695" w:type="dxa"/>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无法满足要求</w:t>
            </w:r>
          </w:p>
        </w:tc>
        <w:tc>
          <w:tcPr>
            <w:tcW w:w="2873" w:type="dxa"/>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未到结案时间仍在处理中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70"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平安人寿</w:t>
            </w:r>
          </w:p>
        </w:tc>
        <w:tc>
          <w:tcPr>
            <w:tcW w:w="1941"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w:t>
            </w:r>
          </w:p>
        </w:tc>
        <w:tc>
          <w:tcPr>
            <w:tcW w:w="1695"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14</w:t>
            </w:r>
          </w:p>
        </w:tc>
        <w:tc>
          <w:tcPr>
            <w:tcW w:w="2873"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70"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太平人寿</w:t>
            </w:r>
          </w:p>
        </w:tc>
        <w:tc>
          <w:tcPr>
            <w:tcW w:w="1941"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1695"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w:t>
            </w:r>
          </w:p>
        </w:tc>
        <w:tc>
          <w:tcPr>
            <w:tcW w:w="2873"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70"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中国人寿</w:t>
            </w:r>
          </w:p>
        </w:tc>
        <w:tc>
          <w:tcPr>
            <w:tcW w:w="1941"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1695"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w:t>
            </w:r>
          </w:p>
        </w:tc>
        <w:tc>
          <w:tcPr>
            <w:tcW w:w="2873"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70"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太平洋寿险</w:t>
            </w:r>
          </w:p>
        </w:tc>
        <w:tc>
          <w:tcPr>
            <w:tcW w:w="1941"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c>
          <w:tcPr>
            <w:tcW w:w="1695"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w:t>
            </w:r>
          </w:p>
        </w:tc>
        <w:tc>
          <w:tcPr>
            <w:tcW w:w="2873"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70"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新华人寿</w:t>
            </w:r>
          </w:p>
        </w:tc>
        <w:tc>
          <w:tcPr>
            <w:tcW w:w="1941"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c>
          <w:tcPr>
            <w:tcW w:w="1695"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w:t>
            </w:r>
          </w:p>
        </w:tc>
        <w:tc>
          <w:tcPr>
            <w:tcW w:w="2873"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70"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泰康人寿</w:t>
            </w:r>
          </w:p>
        </w:tc>
        <w:tc>
          <w:tcPr>
            <w:tcW w:w="1941"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1695"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c>
          <w:tcPr>
            <w:tcW w:w="2873"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70" w:type="dxa"/>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合计</w:t>
            </w:r>
          </w:p>
        </w:tc>
        <w:tc>
          <w:tcPr>
            <w:tcW w:w="1941" w:type="dxa"/>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w:t>
            </w:r>
          </w:p>
        </w:tc>
        <w:tc>
          <w:tcPr>
            <w:tcW w:w="1695" w:type="dxa"/>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29</w:t>
            </w:r>
          </w:p>
        </w:tc>
        <w:tc>
          <w:tcPr>
            <w:tcW w:w="2873" w:type="dxa"/>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r>
    </w:tbl>
    <w:p>
      <w:pPr>
        <w:numPr>
          <w:ilvl w:val="0"/>
          <w:numId w:val="0"/>
        </w:numPr>
        <w:ind w:firstLine="560" w:firstLineChars="200"/>
        <w:jc w:val="both"/>
        <w:rPr>
          <w:rFonts w:hint="eastAsia" w:asciiTheme="minorEastAsia" w:hAnsi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财险公司投诉件共计17件，已反馈投诉案件处理报告的有17件，未到结案时间仍在处理中0件。从已反馈的处理结果来看，无法满足客户要求的案件量为9件排名第一，其次协商达成一致的案件量为8件排名第二。针对无法满足来电人诉求的案件，希望各家保险做好解释告知工作，减少客户重复来电或投诉升级。处理结果详见下表：</w:t>
      </w:r>
    </w:p>
    <w:tbl>
      <w:tblPr>
        <w:tblStyle w:val="2"/>
        <w:tblW w:w="829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74"/>
        <w:gridCol w:w="1946"/>
        <w:gridCol w:w="1808"/>
        <w:gridCol w:w="2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774" w:type="dxa"/>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财险</w:t>
            </w:r>
          </w:p>
        </w:tc>
        <w:tc>
          <w:tcPr>
            <w:tcW w:w="1946" w:type="dxa"/>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协商达成一致</w:t>
            </w:r>
          </w:p>
        </w:tc>
        <w:tc>
          <w:tcPr>
            <w:tcW w:w="1808" w:type="dxa"/>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无法满足要求</w:t>
            </w:r>
          </w:p>
        </w:tc>
        <w:tc>
          <w:tcPr>
            <w:tcW w:w="2770" w:type="dxa"/>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未到结案时间仍在处理中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1774"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人保财险</w:t>
            </w:r>
          </w:p>
        </w:tc>
        <w:tc>
          <w:tcPr>
            <w:tcW w:w="1946"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w:t>
            </w:r>
          </w:p>
        </w:tc>
        <w:tc>
          <w:tcPr>
            <w:tcW w:w="1808"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w:t>
            </w:r>
          </w:p>
        </w:tc>
        <w:tc>
          <w:tcPr>
            <w:tcW w:w="2770"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1774"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太平洋财险</w:t>
            </w:r>
          </w:p>
        </w:tc>
        <w:tc>
          <w:tcPr>
            <w:tcW w:w="1946"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c>
          <w:tcPr>
            <w:tcW w:w="1808"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w:t>
            </w:r>
          </w:p>
        </w:tc>
        <w:tc>
          <w:tcPr>
            <w:tcW w:w="2770"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1774"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平安财险</w:t>
            </w:r>
          </w:p>
        </w:tc>
        <w:tc>
          <w:tcPr>
            <w:tcW w:w="1946"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1808"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2770"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1774"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国寿财险</w:t>
            </w:r>
          </w:p>
        </w:tc>
        <w:tc>
          <w:tcPr>
            <w:tcW w:w="1946"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c>
          <w:tcPr>
            <w:tcW w:w="1808"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2770"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1774"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永安财险</w:t>
            </w:r>
          </w:p>
        </w:tc>
        <w:tc>
          <w:tcPr>
            <w:tcW w:w="1946"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1808"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c>
          <w:tcPr>
            <w:tcW w:w="2770"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1774"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鼎和财险</w:t>
            </w:r>
          </w:p>
        </w:tc>
        <w:tc>
          <w:tcPr>
            <w:tcW w:w="1946"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1808"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c>
          <w:tcPr>
            <w:tcW w:w="2770" w:type="dxa"/>
            <w:tcBorders>
              <w:top w:val="single" w:color="C5D9F1" w:sz="4" w:space="0"/>
              <w:left w:val="single" w:color="C5D9F1" w:sz="4" w:space="0"/>
              <w:bottom w:val="single" w:color="C5D9F1" w:sz="4" w:space="0"/>
              <w:right w:val="single" w:color="C5D9F1"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1774" w:type="dxa"/>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合计</w:t>
            </w:r>
          </w:p>
        </w:tc>
        <w:tc>
          <w:tcPr>
            <w:tcW w:w="1946" w:type="dxa"/>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8</w:t>
            </w:r>
          </w:p>
        </w:tc>
        <w:tc>
          <w:tcPr>
            <w:tcW w:w="1808" w:type="dxa"/>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9</w:t>
            </w:r>
          </w:p>
        </w:tc>
        <w:tc>
          <w:tcPr>
            <w:tcW w:w="2770" w:type="dxa"/>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r>
    </w:tbl>
    <w:p>
      <w:pPr>
        <w:numPr>
          <w:ilvl w:val="0"/>
          <w:numId w:val="0"/>
        </w:numPr>
        <w:jc w:val="both"/>
        <w:rPr>
          <w:rFonts w:hint="default" w:asciiTheme="minorEastAsia" w:hAnsi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 xml:space="preserve">     此外，在52件投诉案件中，有有14件超期反馈，占比26.9%，分别是人保财险7件，太平人寿5件，太平洋寿险2件，请各公司注意处理和反馈的时效性。</w:t>
      </w:r>
    </w:p>
    <w:p>
      <w:pPr>
        <w:numPr>
          <w:ilvl w:val="0"/>
          <w:numId w:val="0"/>
        </w:numPr>
        <w:ind w:leftChars="0" w:firstLine="643" w:firstLineChars="200"/>
        <w:jc w:val="both"/>
        <w:rPr>
          <w:rFonts w:hint="eastAsia" w:asciiTheme="minorEastAsia" w:hAnsiTheme="minorEastAsia" w:cstheme="minorEastAsia"/>
          <w:b/>
          <w:bCs/>
          <w:color w:val="000000" w:themeColor="text1"/>
          <w:sz w:val="32"/>
          <w:szCs w:val="32"/>
          <w:lang w:val="en-US" w:eastAsia="zh-CN"/>
          <w14:textFill>
            <w14:solidFill>
              <w14:schemeClr w14:val="tx1"/>
            </w14:solidFill>
          </w14:textFill>
        </w:rPr>
      </w:pPr>
      <w:r>
        <w:rPr>
          <w:rFonts w:hint="eastAsia" w:asciiTheme="minorEastAsia" w:hAnsiTheme="minorEastAsia" w:cstheme="minorEastAsia"/>
          <w:b/>
          <w:bCs/>
          <w:color w:val="000000" w:themeColor="text1"/>
          <w:sz w:val="32"/>
          <w:szCs w:val="32"/>
          <w:lang w:val="en-US" w:eastAsia="zh-CN"/>
          <w14:textFill>
            <w14:solidFill>
              <w14:schemeClr w14:val="tx1"/>
            </w14:solidFill>
          </w14:textFill>
        </w:rPr>
        <w:t>三、引导案件处理情况</w:t>
      </w:r>
    </w:p>
    <w:p>
      <w:pPr>
        <w:numPr>
          <w:ilvl w:val="0"/>
          <w:numId w:val="0"/>
        </w:numPr>
        <w:ind w:firstLine="560" w:firstLineChars="200"/>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（一）财寿公司分布情况</w:t>
      </w:r>
    </w:p>
    <w:p>
      <w:pPr>
        <w:numPr>
          <w:ilvl w:val="0"/>
          <w:numId w:val="0"/>
        </w:numPr>
        <w:ind w:firstLine="560" w:firstLineChars="200"/>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2023年上半年处理引导案件共计441件，其中寿险公司229件、财险公司228件、银行1件。寿险公司方面共涉及18家，其中平安人寿最多共计71件，其次中国人寿58件，太平人寿35件。财险公司方面共涉及18家，其中人保财险最多共计81件，其次为平安财险43件，太平洋财险29件。具体分布情况如下：</w:t>
      </w:r>
    </w:p>
    <w:p>
      <w:pPr>
        <w:numPr>
          <w:ilvl w:val="0"/>
          <w:numId w:val="0"/>
        </w:numPr>
        <w:ind w:firstLine="420" w:firstLineChars="200"/>
        <w:rPr>
          <w:rFonts w:hint="default" w:asciiTheme="minorEastAsia" w:hAnsiTheme="minorEastAsia" w:cstheme="minorEastAsia"/>
          <w:color w:val="000000" w:themeColor="text1"/>
          <w:sz w:val="28"/>
          <w:szCs w:val="28"/>
          <w:lang w:val="en-US" w:eastAsia="zh-CN"/>
          <w14:textFill>
            <w14:solidFill>
              <w14:schemeClr w14:val="tx1"/>
            </w14:solidFill>
          </w14:textFill>
        </w:rPr>
      </w:pPr>
      <w:r>
        <w:drawing>
          <wp:inline distT="0" distB="0" distL="114300" distR="114300">
            <wp:extent cx="4848225" cy="4777105"/>
            <wp:effectExtent l="0" t="0" r="952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848225" cy="4777105"/>
                    </a:xfrm>
                    <a:prstGeom prst="rect">
                      <a:avLst/>
                    </a:prstGeom>
                    <a:noFill/>
                    <a:ln>
                      <a:noFill/>
                    </a:ln>
                  </pic:spPr>
                </pic:pic>
              </a:graphicData>
            </a:graphic>
          </wp:inline>
        </w:drawing>
      </w:r>
    </w:p>
    <w:p>
      <w:pPr>
        <w:numPr>
          <w:ilvl w:val="0"/>
          <w:numId w:val="1"/>
        </w:numPr>
        <w:ind w:leftChars="0" w:firstLine="560" w:firstLineChars="200"/>
        <w:jc w:val="both"/>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引导电话处理情况</w:t>
      </w:r>
    </w:p>
    <w:p>
      <w:pPr>
        <w:ind w:firstLine="560" w:firstLineChars="2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在441件引导件中，其中236件为省内其它地市承保，外省承保12件，南昌193件。针对省内其它地市的来电，在来电人接受引导的情况下均已引导来电人拨打其所属地市保险业协会投诉电话，针对来电人不接受引导的情况下，引导来电人拨打其承保公司投诉联系人电话，同时将有投诉意向的来电人姓名及联系发式通过QQ发送至各家保险公司对应的投诉负责人，要求各家公司可视情况主动联系来电人，避免投诉升级。省行协不定期会对引导件进行后续跟踪回访，从来电人反映的情况看，投诉性质均为理赔问题、承保问题及退保问题等。引导电话处理情况详见下表：</w:t>
      </w:r>
    </w:p>
    <w:tbl>
      <w:tblPr>
        <w:tblStyle w:val="2"/>
        <w:tblW w:w="83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96"/>
        <w:gridCol w:w="1548"/>
        <w:gridCol w:w="1642"/>
        <w:gridCol w:w="1230"/>
        <w:gridCol w:w="1571"/>
        <w:gridCol w:w="13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3" w:hRule="atLeast"/>
        </w:trPr>
        <w:tc>
          <w:tcPr>
            <w:tcW w:w="1043" w:type="dxa"/>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地区</w:t>
            </w:r>
          </w:p>
        </w:tc>
        <w:tc>
          <w:tcPr>
            <w:tcW w:w="1548" w:type="dxa"/>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建议联系承保公司</w:t>
            </w:r>
          </w:p>
        </w:tc>
        <w:tc>
          <w:tcPr>
            <w:tcW w:w="1642" w:type="dxa"/>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建议诉讼或调解</w:t>
            </w:r>
          </w:p>
        </w:tc>
        <w:tc>
          <w:tcPr>
            <w:tcW w:w="1230" w:type="dxa"/>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协商达成一致</w:t>
            </w:r>
          </w:p>
        </w:tc>
        <w:tc>
          <w:tcPr>
            <w:tcW w:w="1571" w:type="dxa"/>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无法满足要求</w:t>
            </w:r>
          </w:p>
        </w:tc>
        <w:tc>
          <w:tcPr>
            <w:tcW w:w="1302" w:type="dxa"/>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南昌</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179</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8</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赣州</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30</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九江</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30</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上饶</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40</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宜春</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46</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萍乡</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抚州</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18</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新余</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7</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吉安</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28</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鹰潭</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景德镇</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14</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省外地区</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12</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w:t>
            </w:r>
          </w:p>
        </w:tc>
        <w:tc>
          <w:tcPr>
            <w:tcW w:w="0" w:type="auto"/>
            <w:tcBorders>
              <w:top w:val="single" w:color="C5D9F1" w:sz="4" w:space="0"/>
              <w:left w:val="single" w:color="C5D9F1" w:sz="4" w:space="0"/>
              <w:bottom w:val="single" w:color="C5D9F1" w:sz="4" w:space="0"/>
              <w:right w:val="single" w:color="C5D9F1"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0" w:type="auto"/>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总计</w:t>
            </w:r>
          </w:p>
        </w:tc>
        <w:tc>
          <w:tcPr>
            <w:tcW w:w="0" w:type="auto"/>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413</w:t>
            </w:r>
          </w:p>
        </w:tc>
        <w:tc>
          <w:tcPr>
            <w:tcW w:w="0" w:type="auto"/>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w:t>
            </w:r>
          </w:p>
        </w:tc>
        <w:tc>
          <w:tcPr>
            <w:tcW w:w="0" w:type="auto"/>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19</w:t>
            </w:r>
          </w:p>
        </w:tc>
        <w:tc>
          <w:tcPr>
            <w:tcW w:w="0" w:type="auto"/>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w:t>
            </w:r>
          </w:p>
        </w:tc>
        <w:tc>
          <w:tcPr>
            <w:tcW w:w="0" w:type="auto"/>
            <w:tcBorders>
              <w:top w:val="single" w:color="C5D9F1" w:sz="4" w:space="0"/>
              <w:left w:val="single" w:color="C5D9F1" w:sz="4" w:space="0"/>
              <w:bottom w:val="single" w:color="C5D9F1" w:sz="4" w:space="0"/>
              <w:right w:val="single" w:color="C5D9F1" w:sz="4" w:space="0"/>
            </w:tcBorders>
            <w:shd w:val="clear" w:color="auto" w:fill="C5D9F1"/>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441</w:t>
            </w:r>
          </w:p>
        </w:tc>
      </w:tr>
    </w:tbl>
    <w:p>
      <w:pPr>
        <w:numPr>
          <w:ilvl w:val="0"/>
          <w:numId w:val="0"/>
        </w:numPr>
        <w:ind w:firstLine="560" w:firstLineChars="200"/>
        <w:jc w:val="both"/>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以上441件引导件，均来自于12378投诉中心，说明省行协投诉维权热线电话充分发挥了作用，分流了部分12378投诉电话，有效缓解保险公司的投诉压力，拓宽保险消费者的投诉渠道。下一步公司要加大对省行协投诉维权热线电话的宣传力度，让更多消费者知晓投诉平台。</w:t>
      </w:r>
    </w:p>
    <w:p>
      <w:pPr>
        <w:ind w:firstLine="560" w:firstLineChars="200"/>
        <w:rPr>
          <w:rFonts w:hint="eastAsia" w:asciiTheme="minorEastAsia" w:hAnsiTheme="minorEastAsia" w:cstheme="minorEastAsia"/>
          <w:sz w:val="28"/>
          <w:szCs w:val="28"/>
          <w:lang w:val="en-US" w:eastAsia="zh-CN"/>
        </w:rPr>
      </w:pPr>
    </w:p>
    <w:p>
      <w:pPr>
        <w:numPr>
          <w:ilvl w:val="0"/>
          <w:numId w:val="0"/>
        </w:numPr>
        <w:ind w:leftChars="0"/>
        <w:jc w:val="both"/>
        <w:rPr>
          <w:rFonts w:hint="default" w:asciiTheme="minorEastAsia" w:hAnsiTheme="minorEastAsia" w:cstheme="minorEastAsia"/>
          <w:color w:val="000000" w:themeColor="text1"/>
          <w:sz w:val="28"/>
          <w:szCs w:val="28"/>
          <w:lang w:val="en-US" w:eastAsia="zh-CN"/>
          <w14:textFill>
            <w14:solidFill>
              <w14:schemeClr w14:val="tx1"/>
            </w14:solidFill>
          </w14:textFill>
        </w:rPr>
      </w:pPr>
    </w:p>
    <w:p>
      <w:pPr>
        <w:numPr>
          <w:ilvl w:val="0"/>
          <w:numId w:val="0"/>
        </w:numPr>
        <w:ind w:leftChars="0"/>
        <w:jc w:val="both"/>
        <w:rPr>
          <w:rFonts w:hint="default" w:asciiTheme="minorEastAsia" w:hAnsiTheme="minorEastAsia" w:cstheme="minorEastAsia"/>
          <w:color w:val="000000" w:themeColor="text1"/>
          <w:sz w:val="28"/>
          <w:szCs w:val="28"/>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BB3181"/>
    <w:multiLevelType w:val="singleLevel"/>
    <w:tmpl w:val="84BB318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xM2JkNzg5NGI1OWEyMGVjMDcxYTY5ZTc1OWEyMWEifQ=="/>
  </w:docVars>
  <w:rsids>
    <w:rsidRoot w:val="00172A27"/>
    <w:rsid w:val="06983D8A"/>
    <w:rsid w:val="07795DA1"/>
    <w:rsid w:val="08955281"/>
    <w:rsid w:val="0B5605CC"/>
    <w:rsid w:val="0BA63302"/>
    <w:rsid w:val="0E286749"/>
    <w:rsid w:val="0E601E8E"/>
    <w:rsid w:val="0FAE6C29"/>
    <w:rsid w:val="10E847A3"/>
    <w:rsid w:val="12313C9C"/>
    <w:rsid w:val="129334BA"/>
    <w:rsid w:val="12F41E45"/>
    <w:rsid w:val="13857CA0"/>
    <w:rsid w:val="14B95E54"/>
    <w:rsid w:val="14EC4177"/>
    <w:rsid w:val="151C4A36"/>
    <w:rsid w:val="160F1472"/>
    <w:rsid w:val="16BA2357"/>
    <w:rsid w:val="185F6D12"/>
    <w:rsid w:val="1A5403CD"/>
    <w:rsid w:val="1D7B54D0"/>
    <w:rsid w:val="1F126B5B"/>
    <w:rsid w:val="1F2643D3"/>
    <w:rsid w:val="1F8B663F"/>
    <w:rsid w:val="20F52909"/>
    <w:rsid w:val="21D06ED2"/>
    <w:rsid w:val="22AF0896"/>
    <w:rsid w:val="22BB723B"/>
    <w:rsid w:val="2A383309"/>
    <w:rsid w:val="2BCC4267"/>
    <w:rsid w:val="2CFA3055"/>
    <w:rsid w:val="2E960B5C"/>
    <w:rsid w:val="2EE67D35"/>
    <w:rsid w:val="2FC811E9"/>
    <w:rsid w:val="30FD4EC2"/>
    <w:rsid w:val="34784F8C"/>
    <w:rsid w:val="35174ECD"/>
    <w:rsid w:val="35AE2FEA"/>
    <w:rsid w:val="374501D3"/>
    <w:rsid w:val="39965EB4"/>
    <w:rsid w:val="3B5D137F"/>
    <w:rsid w:val="3C174F36"/>
    <w:rsid w:val="3C683B38"/>
    <w:rsid w:val="3F3917BB"/>
    <w:rsid w:val="458B0897"/>
    <w:rsid w:val="495A5150"/>
    <w:rsid w:val="4C3D5416"/>
    <w:rsid w:val="4DCB2A58"/>
    <w:rsid w:val="4FC21359"/>
    <w:rsid w:val="50CA6717"/>
    <w:rsid w:val="537B63EF"/>
    <w:rsid w:val="54190C98"/>
    <w:rsid w:val="54297E3C"/>
    <w:rsid w:val="59A54CA2"/>
    <w:rsid w:val="5B113F82"/>
    <w:rsid w:val="5B5D3A85"/>
    <w:rsid w:val="5C05719D"/>
    <w:rsid w:val="5D1C02FB"/>
    <w:rsid w:val="5DE27796"/>
    <w:rsid w:val="62D82A48"/>
    <w:rsid w:val="64CD45D0"/>
    <w:rsid w:val="66CA1E6F"/>
    <w:rsid w:val="69256789"/>
    <w:rsid w:val="6A892D47"/>
    <w:rsid w:val="6BB67B6C"/>
    <w:rsid w:val="6BDB3A77"/>
    <w:rsid w:val="6E1D3ED3"/>
    <w:rsid w:val="6F430A00"/>
    <w:rsid w:val="72FE425F"/>
    <w:rsid w:val="7381145B"/>
    <w:rsid w:val="76830F93"/>
    <w:rsid w:val="7F4F5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chart" Target="charts/chart2.xml"/><Relationship Id="rId5" Type="http://schemas.openxmlformats.org/officeDocument/2006/relationships/image" Target="media/image1.png"/><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ocuments\WeChat%20Files\wxid_vn3q9svp1lzz22\FileStorage\File\2023-07\2023&#24180;&#24230;&#21488;&#36134;(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ocuments\WeChat%20Files\wxid_vn3q9svp1lzz22\FileStorage\File\2023-07\2023&#24180;&#24230;&#21488;&#36134;(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'[2023年度台账(1).xlsx]Sheet1'!$M$11</c:f>
              <c:strCache>
                <c:ptCount val="1"/>
                <c:pt idx="0">
                  <c:v>电话总量</c:v>
                </c:pt>
              </c:strCache>
            </c:strRef>
          </c:tx>
          <c:spPr>
            <a:solidFill>
              <a:schemeClr val="accent1"/>
            </a:solidFill>
            <a:ln>
              <a:noFill/>
            </a:ln>
            <a:effectLst/>
          </c:spPr>
          <c:invertIfNegative val="0"/>
          <c:dLbls>
            <c:delete val="1"/>
          </c:dLbls>
          <c:trendline>
            <c:spPr>
              <a:ln w="19050" cap="rnd">
                <a:solidFill>
                  <a:schemeClr val="accent1"/>
                </a:solidFill>
                <a:prstDash val="sysDot"/>
              </a:ln>
              <a:effectLst/>
            </c:spPr>
            <c:trendlineType val="linear"/>
            <c:dispRSqr val="0"/>
            <c:dispEq val="0"/>
          </c:trendline>
          <c:cat>
            <c:strRef>
              <c:f>'[2023年度台账(1).xlsx]Sheet1'!$N$10:$O$10</c:f>
              <c:strCache>
                <c:ptCount val="2"/>
                <c:pt idx="0">
                  <c:v>一季度</c:v>
                </c:pt>
                <c:pt idx="1">
                  <c:v>二季度</c:v>
                </c:pt>
              </c:strCache>
            </c:strRef>
          </c:cat>
          <c:val>
            <c:numRef>
              <c:f>'[2023年度台账(1).xlsx]Sheet1'!$N$11:$O$11</c:f>
              <c:numCache>
                <c:formatCode>General</c:formatCode>
                <c:ptCount val="2"/>
                <c:pt idx="0">
                  <c:v>264</c:v>
                </c:pt>
                <c:pt idx="1">
                  <c:v>229</c:v>
                </c:pt>
              </c:numCache>
            </c:numRef>
          </c:val>
        </c:ser>
        <c:dLbls>
          <c:showLegendKey val="0"/>
          <c:showVal val="0"/>
          <c:showCatName val="0"/>
          <c:showSerName val="0"/>
          <c:showPercent val="0"/>
          <c:showBubbleSize val="0"/>
        </c:dLbls>
        <c:gapWidth val="219"/>
        <c:overlap val="-27"/>
        <c:axId val="159497118"/>
        <c:axId val="793758775"/>
      </c:barChart>
      <c:catAx>
        <c:axId val="15949711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793758775"/>
        <c:crosses val="autoZero"/>
        <c:auto val="1"/>
        <c:lblAlgn val="ctr"/>
        <c:lblOffset val="100"/>
        <c:noMultiLvlLbl val="0"/>
      </c:catAx>
      <c:valAx>
        <c:axId val="793758775"/>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59497118"/>
        <c:crosses val="autoZero"/>
        <c:crossBetween val="between"/>
        <c:majorUnit val="30"/>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b="1">
                <a:latin typeface="微软雅黑" panose="020B0503020204020204" charset="-122"/>
                <a:ea typeface="微软雅黑" panose="020B0503020204020204" charset="-122"/>
                <a:cs typeface="微软雅黑" panose="020B0503020204020204" charset="-122"/>
                <a:sym typeface="微软雅黑" panose="020B0503020204020204" charset="-122"/>
              </a:rPr>
              <a:t>受理机构类型</a:t>
            </a:r>
            <a:endParaRPr b="1">
              <a:latin typeface="微软雅黑" panose="020B0503020204020204" charset="-122"/>
              <a:ea typeface="微软雅黑" panose="020B0503020204020204" charset="-122"/>
              <a:cs typeface="微软雅黑" panose="020B0503020204020204" charset="-122"/>
              <a:sym typeface="微软雅黑" panose="020B0503020204020204" charset="-122"/>
            </a:endParaRPr>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tx>
            <c:strRef>
              <c:f>'[2023年度台账(1).xlsx]Sheet2'!$C$13</c:f>
              <c:strCache>
                <c:ptCount val="1"/>
                <c:pt idx="0">
                  <c:v>总量</c:v>
                </c:pt>
              </c:strCache>
            </c:strRef>
          </c:tx>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rgbClr val="F7860C"/>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'[2023年度台账(1).xlsx]Sheet2'!$B$14:$B$16</c:f>
              <c:strCache>
                <c:ptCount val="3"/>
                <c:pt idx="0">
                  <c:v>寿险</c:v>
                </c:pt>
                <c:pt idx="1">
                  <c:v>财险</c:v>
                </c:pt>
                <c:pt idx="2">
                  <c:v>其他</c:v>
                </c:pt>
              </c:strCache>
            </c:strRef>
          </c:cat>
          <c:val>
            <c:numRef>
              <c:f>'[2023年度台账(1).xlsx]Sheet2'!$C$14:$C$16</c:f>
              <c:numCache>
                <c:formatCode>General</c:formatCode>
                <c:ptCount val="3"/>
                <c:pt idx="0">
                  <c:v>266</c:v>
                </c:pt>
                <c:pt idx="1">
                  <c:v>226</c:v>
                </c:pt>
                <c:pt idx="2">
                  <c:v>1</c:v>
                </c:pt>
              </c:numCache>
            </c:numRef>
          </c:val>
        </c:ser>
        <c:dLbls>
          <c:showLegendKey val="0"/>
          <c:showVal val="0"/>
          <c:showCatName val="1"/>
          <c:showSerName val="0"/>
          <c:showPercent val="1"/>
          <c:showBubbleSize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1739</Words>
  <Characters>1873</Characters>
  <Lines>0</Lines>
  <Paragraphs>0</Paragraphs>
  <TotalTime>20</TotalTime>
  <ScaleCrop>false</ScaleCrop>
  <LinksUpToDate>false</LinksUpToDate>
  <CharactersWithSpaces>1878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2022-07-01T06:35:00Z</dcterms:created>
  <dc:creator>Administrator</dc:creator>
  <cp:lastModifiedBy>Administrator</cp:lastModifiedBy>
  <dcterms:modified xsi:type="dcterms:W3CDTF">2023-07-13T03:26:26Z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438DB11B67874F8E87B929E38E42FDD6_13</vt:lpwstr>
  </property>
</Properties>
</file>